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1.2  ·  SECTION 1: ISO 20000 FOUNDATIONS</w:t>
      </w:r>
    </w:p>
    <w:p>
      <w:pPr>
        <w:spacing w:after="120"/>
      </w:pPr>
      <w:r>
        <w:rPr>
          <w:rFonts w:ascii="Arial" w:cs="Arial" w:eastAsia="Arial" w:hAnsi="Arial"/>
          <w:b/>
          <w:bCs/>
          <w:caps w:val="false"/>
          <w:color w:val="1B3A5C"/>
          <w:sz w:val="44"/>
          <w:szCs w:val="44"/>
        </w:rPr>
        <w:t xml:space="preserve">The ISO 20000 Standard Structure</w:t>
      </w:r>
    </w:p>
    <w:p>
      <w:pPr>
        <w:spacing w:after="60"/>
      </w:pPr>
      <w:r>
        <w:rPr>
          <w:rFonts w:ascii="Georgia" w:cs="Georgia" w:eastAsia="Georgia" w:hAnsi="Georgia"/>
          <w:b w:val="false"/>
          <w:bCs w:val="false"/>
          <w:color w:val="4B5563"/>
          <w:sz w:val="24"/>
          <w:szCs w:val="24"/>
        </w:rPr>
        <w:t xml:space="preserve">How ISO/IEC 20000-1:2018 is organized — its ten clauses using the High Level Structure, the distinction between SMS requirements and service management practice requirements, and how the structure enables integration with other Annex SL management systems.</w:t>
      </w:r>
    </w:p>
    <w:p>
      <w:pPr>
        <w:spacing w:after="40"/>
      </w:pPr>
      <w:r>
        <w:rPr>
          <w:rFonts w:ascii="Arial" w:cs="Arial" w:eastAsia="Arial" w:hAnsi="Arial"/>
          <w:b w:val="false"/>
          <w:bCs w:val="false"/>
          <w:caps w:val="false"/>
          <w:color w:val="9CA3AF"/>
          <w:sz w:val="18"/>
          <w:szCs w:val="18"/>
        </w:rPr>
        <w:t xml:space="preserve">Bitlion GRC Documentation  ·  Updated April 2026  ·  Reading time: ~12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Overview: A Standard with Two Distinct Layers</w:t>
      </w:r>
    </w:p>
    <w:p>
      <w:pPr>
        <w:spacing w:after="160" w:line="320"/>
        <w:jc w:val="both"/>
      </w:pPr>
      <w:r>
        <w:rPr>
          <w:rFonts w:ascii="Georgia" w:cs="Georgia" w:eastAsia="Georgia" w:hAnsi="Georgia"/>
          <w:b w:val="false"/>
          <w:bCs w:val="false"/>
          <w:color w:val="111827"/>
          <w:sz w:val="22"/>
          <w:szCs w:val="22"/>
        </w:rPr>
        <w:t xml:space="preserve">ISO/IEC 20000-1:2018 is structured across ten clauses, but those ten clauses contain two conceptually distinct layers of requirement. The first layer — Clauses 4 through 7 and Clauses 9 and 10 — defines the management system requirements: the governance, planning, resource, documentation, measurement, and improvement infrastructure that gives the Service Management System (SMS) its organizational backbone. The second layer — Clause 8 — contains the service management practice requirements: the specific processes and controls that govern how services are actually delivered, changed, managed through incidents, and supported by configuration data.</w:t>
      </w:r>
    </w:p>
    <w:p>
      <w:pPr>
        <w:spacing w:after="160" w:line="320"/>
        <w:jc w:val="both"/>
      </w:pPr>
      <w:r>
        <w:rPr>
          <w:rFonts w:ascii="Georgia" w:cs="Georgia" w:eastAsia="Georgia" w:hAnsi="Georgia"/>
          <w:b w:val="false"/>
          <w:bCs w:val="false"/>
          <w:color w:val="111827"/>
          <w:sz w:val="22"/>
          <w:szCs w:val="22"/>
        </w:rPr>
        <w:t xml:space="preserve">Understanding this two-layer structure is essential for implementation planning. The management system layer is largely generic — it mirrors what ISO 27001, ISO 22301, and ISO 9001 require in their equivalent clauses, because all three share the same Annex SL High Level Structure (HLS). The service management practice layer in Clause 8 is where ISO 20000 is unique: it contains requirements specific to IT and technology service management that have no direct equivalent in other management system standards. A practitioner familiar with ISO 27001 will recognize the shape of Clauses 4–7 and 9–10 immediately, but will need to invest real effort in understanding the practice requirements of Clause 8.</w:t>
      </w:r>
    </w:p>
    <w:p>
      <w:pPr>
        <w:pBdr>
          <w:bottom w:val="single" w:color="2563A8" w:sz="4" w:space="4"/>
        </w:pBdr>
        <w:spacing w:after="160" w:before="400"/>
      </w:pPr>
      <w:r>
        <w:rPr>
          <w:rFonts w:ascii="Arial" w:cs="Arial" w:eastAsia="Arial" w:hAnsi="Arial"/>
          <w:b/>
          <w:bCs/>
          <w:caps w:val="false"/>
          <w:color w:val="1B3A5C"/>
          <w:sz w:val="28"/>
          <w:szCs w:val="28"/>
        </w:rPr>
        <w:t xml:space="preserve">Clauses 1–3: Scope, References, and Terms</w:t>
      </w:r>
    </w:p>
    <w:p>
      <w:pPr>
        <w:spacing w:after="160" w:line="320"/>
        <w:jc w:val="both"/>
      </w:pPr>
      <w:r>
        <w:rPr>
          <w:rFonts w:ascii="Georgia" w:cs="Georgia" w:eastAsia="Georgia" w:hAnsi="Georgia"/>
          <w:b w:val="false"/>
          <w:bCs w:val="false"/>
          <w:color w:val="111827"/>
          <w:sz w:val="22"/>
          <w:szCs w:val="22"/>
        </w:rPr>
        <w:t xml:space="preserve">Clause 1 defines the scope of the standard — what types of organizations it applies to and what “applying the standard” means. ISO 20000-1:2018 can be applied by any organization, regardless of type, size, or the nature of the services it provides. This is a deliberate broadening from earlier versions that were more narrowly framed around IT services. A cloud service provider, a corporate IT department, a managed service provider, a government digital services agency — all are within scope. The standard can also be applied by an organization seeking to demonstrate that it manages services in accordance with the requirements, regardless of whether it pursues third-party certification.</w:t>
      </w:r>
    </w:p>
    <w:p>
      <w:pPr>
        <w:spacing w:after="160" w:line="320"/>
        <w:jc w:val="both"/>
      </w:pPr>
      <w:r>
        <w:rPr>
          <w:rFonts w:ascii="Georgia" w:cs="Georgia" w:eastAsia="Georgia" w:hAnsi="Georgia"/>
          <w:b w:val="false"/>
          <w:bCs w:val="false"/>
          <w:color w:val="111827"/>
          <w:sz w:val="22"/>
          <w:szCs w:val="22"/>
        </w:rPr>
        <w:t xml:space="preserve">Clause 2 provides normative references — in ISO 20000’s case, there is only one: ISO/IEC 20000-10:2018, which contains the concepts and vocabulary for IT service management that underpins the terminology used throughout the standard. Clause 3 provides the terms and definitions used in the standard, drawing on ISO/IEC 20000-10:2018 and supplementing it with standard-specific definitions. Article 1.3 of this Knowledge Hub covers the most critical definitions in depth.</w:t>
      </w:r>
    </w:p>
    <w:p>
      <w:pPr>
        <w:pBdr>
          <w:bottom w:val="single" w:color="2563A8" w:sz="4" w:space="4"/>
        </w:pBdr>
        <w:spacing w:after="160" w:before="400"/>
      </w:pPr>
      <w:r>
        <w:rPr>
          <w:rFonts w:ascii="Arial" w:cs="Arial" w:eastAsia="Arial" w:hAnsi="Arial"/>
          <w:b/>
          <w:bCs/>
          <w:caps w:val="false"/>
          <w:color w:val="1B3A5C"/>
          <w:sz w:val="28"/>
          <w:szCs w:val="28"/>
        </w:rPr>
        <w:t xml:space="preserve">Clause 4: Context of the Organization</w:t>
      </w:r>
    </w:p>
    <w:p>
      <w:pPr>
        <w:spacing w:after="160" w:line="320"/>
        <w:jc w:val="both"/>
      </w:pPr>
      <w:r>
        <w:rPr>
          <w:rFonts w:ascii="Georgia" w:cs="Georgia" w:eastAsia="Georgia" w:hAnsi="Georgia"/>
          <w:b w:val="false"/>
          <w:bCs w:val="false"/>
          <w:color w:val="111827"/>
          <w:sz w:val="22"/>
          <w:szCs w:val="22"/>
        </w:rPr>
        <w:t xml:space="preserve">Clause 4 establishes the foundation on which the SMS is built. It requires the organization to understand its external and internal context — the issues and factors that can affect the SMS and its ability to deliver services at the required level — and to identify the interested parties relevant to the SMS and their requirements.</w:t>
      </w:r>
    </w:p>
    <w:p>
      <w:pPr>
        <w:spacing w:after="160" w:line="320"/>
        <w:jc w:val="both"/>
      </w:pPr>
      <w:r>
        <w:rPr>
          <w:rFonts w:ascii="Georgia" w:cs="Georgia" w:eastAsia="Georgia" w:hAnsi="Georgia"/>
          <w:b w:val="false"/>
          <w:bCs w:val="false"/>
          <w:color w:val="111827"/>
          <w:sz w:val="22"/>
          <w:szCs w:val="22"/>
        </w:rPr>
        <w:t xml:space="preserve">Of particular practical importance is Clause 4.3, which requires the organization to determine the scope of the SMS. Scope definition — deciding which services, service components, customers, and organizational units are included in the SMS — is one of the first and most consequential decisions in any ISO 20000 implementation. A scope that is too broad adds implementation complexity and audit surface area; a scope that is too narrow may not satisfy the commercial or regulatory purposes of certification. Article 2.1 covers Clause 4 requirements in full detail, and Article 3.2 provides dedicated guidance on scope definition strategy.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SMS scope statement — required by Clause 4.3 — is one of the first documents an auditor reviews at Stage 1. It must clearly identify the services, service components, customers, and organizational boundaries included in the SMS. Ambiguity or misalignment between the scope statement and actual SMS operation is a common Stage 1 finding.</w:t>
            </w:r>
          </w:p>
        </w:tc>
      </w:tr>
    </w:tbl>
    <w:p>
      <w:pPr>
        <w:pBdr>
          <w:bottom w:val="single" w:color="2563A8" w:sz="4" w:space="4"/>
        </w:pBdr>
        <w:spacing w:after="160" w:before="400"/>
      </w:pPr>
      <w:r>
        <w:rPr>
          <w:rFonts w:ascii="Arial" w:cs="Arial" w:eastAsia="Arial" w:hAnsi="Arial"/>
          <w:b/>
          <w:bCs/>
          <w:caps w:val="false"/>
          <w:color w:val="1B3A5C"/>
          <w:sz w:val="28"/>
          <w:szCs w:val="28"/>
        </w:rPr>
        <w:t xml:space="preserve">Clause 5: Leadership</w:t>
      </w:r>
    </w:p>
    <w:p>
      <w:pPr>
        <w:spacing w:after="160" w:line="320"/>
        <w:jc w:val="both"/>
      </w:pPr>
      <w:r>
        <w:rPr>
          <w:rFonts w:ascii="Georgia" w:cs="Georgia" w:eastAsia="Georgia" w:hAnsi="Georgia"/>
          <w:b w:val="false"/>
          <w:bCs w:val="false"/>
          <w:color w:val="111827"/>
          <w:sz w:val="22"/>
          <w:szCs w:val="22"/>
        </w:rPr>
        <w:t xml:space="preserve">Clause 5 places explicit requirements on top management — not on the service management function, but on the leadership of the organization. Top management must demonstrate commitment to the SMS by ensuring that the service management policy is established and communicated, ensuring that SMS objectives are aligned to organizational strategic direction, ensuring adequate resources are provided, and participating in management review.</w:t>
      </w:r>
    </w:p>
    <w:p>
      <w:pPr>
        <w:spacing w:after="160" w:line="320"/>
        <w:jc w:val="both"/>
      </w:pPr>
      <w:r>
        <w:rPr>
          <w:rFonts w:ascii="Georgia" w:cs="Georgia" w:eastAsia="Georgia" w:hAnsi="Georgia"/>
          <w:b w:val="false"/>
          <w:bCs w:val="false"/>
          <w:color w:val="111827"/>
          <w:sz w:val="22"/>
          <w:szCs w:val="22"/>
        </w:rPr>
        <w:t xml:space="preserve">The service management policy — required by Clause 5.2 — is a relatively brief high-level statement that commits the organization to meeting service management requirements, to continual improvement of the SMS, and to achieving service management objectives. It must be appropriate to the purpose of the organization, communicated internally, and available to interested parties. Clause 5.3 requires top management to assign roles, responsibilities, and authorities for service management, including assigning someone to ensure the SMS conforms to the standard’s requirements and to report on SMS performance.</w:t>
      </w:r>
    </w:p>
    <w:p>
      <w:pPr>
        <w:pBdr>
          <w:bottom w:val="single" w:color="2563A8" w:sz="4" w:space="4"/>
        </w:pBdr>
        <w:spacing w:after="160" w:before="400"/>
      </w:pPr>
      <w:r>
        <w:rPr>
          <w:rFonts w:ascii="Arial" w:cs="Arial" w:eastAsia="Arial" w:hAnsi="Arial"/>
          <w:b/>
          <w:bCs/>
          <w:caps w:val="false"/>
          <w:color w:val="1B3A5C"/>
          <w:sz w:val="28"/>
          <w:szCs w:val="28"/>
        </w:rPr>
        <w:t xml:space="preserve">Clause 6: Planning</w:t>
      </w:r>
    </w:p>
    <w:p>
      <w:pPr>
        <w:spacing w:after="160" w:line="320"/>
        <w:jc w:val="both"/>
      </w:pPr>
      <w:r>
        <w:rPr>
          <w:rFonts w:ascii="Georgia" w:cs="Georgia" w:eastAsia="Georgia" w:hAnsi="Georgia"/>
          <w:b w:val="false"/>
          <w:bCs w:val="false"/>
          <w:color w:val="111827"/>
          <w:sz w:val="22"/>
          <w:szCs w:val="22"/>
        </w:rPr>
        <w:t xml:space="preserve">Clause 6 contains two distinct planning requirements. Clause 6.1 requires the organization to determine the risks and opportunities that are relevant to the SMS — both risks that could prevent it from achieving its objectives and opportunities to improve — and to plan actions to address them. This is not a full risk management framework in the ISO 31000 sense, but it requires structured thinking about what could go wrong with the SMS and how those risks are being managed.</w:t>
      </w:r>
    </w:p>
    <w:p>
      <w:pPr>
        <w:spacing w:after="160" w:line="320"/>
        <w:jc w:val="both"/>
      </w:pPr>
      <w:r>
        <w:rPr>
          <w:rFonts w:ascii="Georgia" w:cs="Georgia" w:eastAsia="Georgia" w:hAnsi="Georgia"/>
          <w:b w:val="false"/>
          <w:bCs w:val="false"/>
          <w:color w:val="111827"/>
          <w:sz w:val="22"/>
          <w:szCs w:val="22"/>
        </w:rPr>
        <w:t xml:space="preserve">Clause 6.2 requires the organization to establish service management objectives — the measurable targets that the SMS is working toward — and to plan how they will be achieved. Critically, Clause 6.3 requires the production of a service management plan: the documented plan that describes how the SMS objectives will be met, what resources will be used, who is responsible, and what the timeline looks like. The service management plan is one of the most important documents in the SMS — it is the operational roadmap that translates the SMS from policy to action. Article 2.3 and Article 3.4 provide detailed guidance on planning and service management plan design respectively.</w:t>
      </w:r>
    </w:p>
    <w:p>
      <w:pPr>
        <w:pBdr>
          <w:bottom w:val="single" w:color="2563A8" w:sz="4" w:space="4"/>
        </w:pBdr>
        <w:spacing w:after="160" w:before="400"/>
      </w:pPr>
      <w:r>
        <w:rPr>
          <w:rFonts w:ascii="Arial" w:cs="Arial" w:eastAsia="Arial" w:hAnsi="Arial"/>
          <w:b/>
          <w:bCs/>
          <w:caps w:val="false"/>
          <w:color w:val="1B3A5C"/>
          <w:sz w:val="28"/>
          <w:szCs w:val="28"/>
        </w:rPr>
        <w:t xml:space="preserve">Clause 7: Support</w:t>
      </w:r>
    </w:p>
    <w:p>
      <w:pPr>
        <w:spacing w:after="160" w:line="320"/>
        <w:jc w:val="both"/>
      </w:pPr>
      <w:r>
        <w:rPr>
          <w:rFonts w:ascii="Georgia" w:cs="Georgia" w:eastAsia="Georgia" w:hAnsi="Georgia"/>
          <w:b w:val="false"/>
          <w:bCs w:val="false"/>
          <w:color w:val="111827"/>
          <w:sz w:val="22"/>
          <w:szCs w:val="22"/>
        </w:rPr>
        <w:t xml:space="preserve">Clause 7 covers the enabling resources that the SMS depends on. Clause 7.1 requires the organization to determine and provide the resources needed to establish, implement, maintain, and continually improve the SMS — including people, tools, and infrastructure. Clause 7.2 requires the organization to determine the competence needed for people who perform work affecting SMS performance, ensure they are competent, and retain evidence of competence.</w:t>
      </w:r>
    </w:p>
    <w:p>
      <w:pPr>
        <w:spacing w:after="160" w:line="320"/>
        <w:jc w:val="both"/>
      </w:pPr>
      <w:r>
        <w:rPr>
          <w:rFonts w:ascii="Georgia" w:cs="Georgia" w:eastAsia="Georgia" w:hAnsi="Georgia"/>
          <w:b w:val="false"/>
          <w:bCs w:val="false"/>
          <w:color w:val="111827"/>
          <w:sz w:val="22"/>
          <w:szCs w:val="22"/>
        </w:rPr>
        <w:t xml:space="preserve">Clause 7.3 (Awareness) requires that people doing work under the SMS are aware of the service management policy, their contribution to SMS effectiveness, and the consequences of not conforming to requirements. Clause 7.4 (Communication) requires the organization to determine what, when, how, and with whom to communicate internally and externally about SMS matters. Clause 7.5 (Documented Information) specifies the documented information the organization must create and maintain — the policies, procedures, records, and evidence that support SMS operation and certification audit.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3480"/>
        <w:gridCol w:w="3480"/>
      </w:tblGrid>
      <w:tr>
        <w:trPr>
          <w:tblHeader/>
        </w:trPr>
        <w:tc>
          <w:tcPr>
            <w:tcW w:type="dxa" w:w="240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Clause 7 Element</w:t>
            </w:r>
          </w:p>
        </w:tc>
        <w:tc>
          <w:tcPr>
            <w:tcW w:type="dxa" w:w="348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Key Requirement</w:t>
            </w:r>
          </w:p>
        </w:tc>
        <w:tc>
          <w:tcPr>
            <w:tcW w:type="dxa" w:w="348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Common Evidence</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7.1 Resources</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Determine and provide resources for the SMS</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Resource allocation plan, tool inventory</w:t>
            </w:r>
          </w:p>
        </w:tc>
      </w:tr>
      <w:tr>
        <w:tc>
          <w:tcPr>
            <w:tcW w:type="dxa" w:w="24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7.2 Competence</w:t>
            </w:r>
          </w:p>
        </w:tc>
        <w:tc>
          <w:tcPr>
            <w:tcW w:type="dxa" w:w="34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Identify competence needs, train, retain evidence</w:t>
            </w:r>
          </w:p>
        </w:tc>
        <w:tc>
          <w:tcPr>
            <w:tcW w:type="dxa" w:w="34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Training records, competence matrix, CVs</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7.3 Awareness</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Communicate policy, roles, and consequences</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Awareness training records, meeting minutes</w:t>
            </w:r>
          </w:p>
        </w:tc>
      </w:tr>
      <w:tr>
        <w:tc>
          <w:tcPr>
            <w:tcW w:type="dxa" w:w="24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7.4 Communication</w:t>
            </w:r>
          </w:p>
        </w:tc>
        <w:tc>
          <w:tcPr>
            <w:tcW w:type="dxa" w:w="34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Plan internal and external SMS communication</w:t>
            </w:r>
          </w:p>
        </w:tc>
        <w:tc>
          <w:tcPr>
            <w:tcW w:type="dxa" w:w="34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Communication plan, stakeholder register</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7.5 Documented Information</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Create, control, and maintain required documents and records</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Document register, version control log</w:t>
            </w:r>
          </w:p>
        </w:tc>
      </w:tr>
    </w:tbl>
    <w:p>
      <w:pPr>
        <w:spacing w:after="8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Clause 8: Operation — The Heart of the SMS</w:t>
      </w:r>
    </w:p>
    <w:p>
      <w:pPr>
        <w:spacing w:after="160" w:line="320"/>
        <w:jc w:val="both"/>
      </w:pPr>
      <w:r>
        <w:rPr>
          <w:rFonts w:ascii="Georgia" w:cs="Georgia" w:eastAsia="Georgia" w:hAnsi="Georgia"/>
          <w:b w:val="false"/>
          <w:bCs w:val="false"/>
          <w:color w:val="111827"/>
          <w:sz w:val="22"/>
          <w:szCs w:val="22"/>
        </w:rPr>
        <w:t xml:space="preserve">Clause 8 is the largest and most practice-specific clause in ISO 20000-1:2018. It is structured in two sub-layers: Clause 8.1 covers the general operational control requirements — planning, implementing, and controlling the SMS — while Clauses 8.2 through 8.7 contain the specific service management practice requirements.</w:t>
      </w:r>
    </w:p>
    <w:p>
      <w:pPr>
        <w:spacing w:after="160" w:line="320"/>
        <w:jc w:val="both"/>
      </w:pPr>
      <w:r>
        <w:rPr>
          <w:rFonts w:ascii="Georgia" w:cs="Georgia" w:eastAsia="Georgia" w:hAnsi="Georgia"/>
          <w:b w:val="false"/>
          <w:bCs w:val="false"/>
          <w:color w:val="111827"/>
          <w:sz w:val="22"/>
          <w:szCs w:val="22"/>
        </w:rPr>
        <w:t xml:space="preserve">Clause 8.2 covers service portfolio management: the organization must maintain a service portfolio that defines the services it provides, and it must have a process for adding, changing, and retiring services. Clause 8.3 covers relationship management in two parts: customer relationship management (maintaining the relationship with customers, including service review meetings and complaints handling) and supplier management (managing the contracts and relationships with external suppliers contributing to service delivery).</w:t>
      </w:r>
    </w:p>
    <w:p>
      <w:pPr>
        <w:spacing w:after="160" w:line="320"/>
        <w:jc w:val="both"/>
      </w:pPr>
      <w:r>
        <w:rPr>
          <w:rFonts w:ascii="Georgia" w:cs="Georgia" w:eastAsia="Georgia" w:hAnsi="Georgia"/>
          <w:b w:val="false"/>
          <w:bCs w:val="false"/>
          <w:color w:val="111827"/>
          <w:sz w:val="22"/>
          <w:szCs w:val="22"/>
        </w:rPr>
        <w:t xml:space="preserve">Clause 8.4 covers supply chain management — the management of the broader supply chain of organizations contributing to services, which may include multi-tier suppliers. Clause 8.5 covers service design, build, and transition: designing new or changed services, building and testing them, and transitioning them into operation in a controlled way.</w:t>
      </w:r>
    </w:p>
    <w:p>
      <w:pPr>
        <w:spacing w:after="160" w:line="320"/>
        <w:jc w:val="both"/>
      </w:pPr>
      <w:r>
        <w:rPr>
          <w:rFonts w:ascii="Georgia" w:cs="Georgia" w:eastAsia="Georgia" w:hAnsi="Georgia"/>
          <w:b w:val="false"/>
          <w:bCs w:val="false"/>
          <w:color w:val="111827"/>
          <w:sz w:val="22"/>
          <w:szCs w:val="22"/>
        </w:rPr>
        <w:t xml:space="preserve">Clause 8.6 covers resolution and control practices. The resolution practices are incident management (restoring service after disruptions), service request management (fulfilling standard requests), and problem management (investigating root causes and preventing recurrence). The control practices are configuration management, change management, release management, and deployment management. Clause 8.7 covers service assurance: availability management, service continuity management, capacity management, and information security management.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Clause 8 is where most of the implementation effort — and most of the certification audit evidence — is concentrated. A well-governed SMS with strong Clause 4–7 and 9–10 infrastructure will still fail certification if the Clause 8 service management practices are not genuinely implemented and documented. Auditors spend the majority of Stage 2 fieldwork in Clause 8.</w:t>
            </w:r>
          </w:p>
        </w:tc>
      </w:tr>
    </w:tbl>
    <w:p>
      <w:pPr>
        <w:pBdr>
          <w:bottom w:val="single" w:color="2563A8" w:sz="4" w:space="4"/>
        </w:pBdr>
        <w:spacing w:after="160" w:before="400"/>
      </w:pPr>
      <w:r>
        <w:rPr>
          <w:rFonts w:ascii="Arial" w:cs="Arial" w:eastAsia="Arial" w:hAnsi="Arial"/>
          <w:b/>
          <w:bCs/>
          <w:caps w:val="false"/>
          <w:color w:val="1B3A5C"/>
          <w:sz w:val="28"/>
          <w:szCs w:val="28"/>
        </w:rPr>
        <w:t xml:space="preserve">Clause 9: Performance Evaluation</w:t>
      </w:r>
    </w:p>
    <w:p>
      <w:pPr>
        <w:spacing w:after="160" w:line="320"/>
        <w:jc w:val="both"/>
      </w:pPr>
      <w:r>
        <w:rPr>
          <w:rFonts w:ascii="Georgia" w:cs="Georgia" w:eastAsia="Georgia" w:hAnsi="Georgia"/>
          <w:b w:val="false"/>
          <w:bCs w:val="false"/>
          <w:color w:val="111827"/>
          <w:sz w:val="22"/>
          <w:szCs w:val="22"/>
        </w:rPr>
        <w:t xml:space="preserve">Clause 9 requires the organization to monitor, measure, analyze, and evaluate the performance of the SMS and the services it delivers. Clause 9.1 requires the organization to determine what needs to be monitored and measured, how it will be measured and analyzed, when it will be done, and when the results will be evaluated. Service performance reporting — including SLA performance, incident metrics, availability data, and customer satisfaction — is the operational content that typically satisfies these requirements.</w:t>
      </w:r>
    </w:p>
    <w:p>
      <w:pPr>
        <w:spacing w:after="160" w:line="320"/>
        <w:jc w:val="both"/>
      </w:pPr>
      <w:r>
        <w:rPr>
          <w:rFonts w:ascii="Georgia" w:cs="Georgia" w:eastAsia="Georgia" w:hAnsi="Georgia"/>
          <w:b w:val="false"/>
          <w:bCs w:val="false"/>
          <w:color w:val="111827"/>
          <w:sz w:val="22"/>
          <w:szCs w:val="22"/>
        </w:rPr>
        <w:t xml:space="preserve">Clause 9.2 requires internal audits of the SMS at planned intervals — a structured program of independent checks that the SMS is conforming to the standard’s requirements and is effectively implemented and maintained. Clause 9.3 requires management reviews at planned intervals, where top management reviews the performance of the SMS and makes decisions about its continued suitability, adequacy, and effectiveness. Management review outputs — including decisions and actions taken — must be retained as documented information.</w:t>
      </w:r>
    </w:p>
    <w:p>
      <w:pPr>
        <w:pBdr>
          <w:bottom w:val="single" w:color="2563A8" w:sz="4" w:space="4"/>
        </w:pBdr>
        <w:spacing w:after="160" w:before="400"/>
      </w:pPr>
      <w:r>
        <w:rPr>
          <w:rFonts w:ascii="Arial" w:cs="Arial" w:eastAsia="Arial" w:hAnsi="Arial"/>
          <w:b/>
          <w:bCs/>
          <w:caps w:val="false"/>
          <w:color w:val="1B3A5C"/>
          <w:sz w:val="28"/>
          <w:szCs w:val="28"/>
        </w:rPr>
        <w:t xml:space="preserve">Clause 10: Improvement</w:t>
      </w:r>
    </w:p>
    <w:p>
      <w:pPr>
        <w:spacing w:after="160" w:line="320"/>
        <w:jc w:val="both"/>
      </w:pPr>
      <w:r>
        <w:rPr>
          <w:rFonts w:ascii="Georgia" w:cs="Georgia" w:eastAsia="Georgia" w:hAnsi="Georgia"/>
          <w:b w:val="false"/>
          <w:bCs w:val="false"/>
          <w:color w:val="111827"/>
          <w:sz w:val="22"/>
          <w:szCs w:val="22"/>
        </w:rPr>
        <w:t xml:space="preserve">Clause 10.1 requires the organization to handle nonconformities — instances where SMS requirements are not met — by taking corrective action, determining root cause, implementing corrections, and verifying effectiveness. Records of nonconformities and corrective actions must be retained. Clause 10.2 requires continual improvement of the SMS: the organization must continually improve the suitability, adequacy, and effectiveness of the SMS, and must retain evidence of improvement activity and results. The improvement register — a centralized log of improvement opportunities, their priority, implementation status, and measured outcomes — is the common vehicle for satisfying this requirement.</w:t>
      </w:r>
    </w:p>
    <w:p>
      <w:pPr>
        <w:pBdr>
          <w:bottom w:val="single" w:color="2563A8" w:sz="4" w:space="4"/>
        </w:pBdr>
        <w:spacing w:after="160" w:before="400"/>
      </w:pPr>
      <w:r>
        <w:rPr>
          <w:rFonts w:ascii="Arial" w:cs="Arial" w:eastAsia="Arial" w:hAnsi="Arial"/>
          <w:b/>
          <w:bCs/>
          <w:caps w:val="false"/>
          <w:color w:val="1B3A5C"/>
          <w:sz w:val="28"/>
          <w:szCs w:val="28"/>
        </w:rPr>
        <w:t xml:space="preserve">How the Structure Enables Multi-Standard Integration</w:t>
      </w:r>
    </w:p>
    <w:p>
      <w:pPr>
        <w:spacing w:after="160" w:line="320"/>
        <w:jc w:val="both"/>
      </w:pPr>
      <w:r>
        <w:rPr>
          <w:rFonts w:ascii="Georgia" w:cs="Georgia" w:eastAsia="Georgia" w:hAnsi="Georgia"/>
          <w:b w:val="false"/>
          <w:bCs w:val="false"/>
          <w:color w:val="111827"/>
          <w:sz w:val="22"/>
          <w:szCs w:val="22"/>
        </w:rPr>
        <w:t xml:space="preserve">The practical value of the Annex SL alignment extends far beyond structural familiarity. When an organization implements ISO 20000 alongside ISO 27001 (information security) or ISO 22301 (business continuity), the shared clauses can be implemented once and applied across all management systems. A single management review meeting can serve all three standards. A single internal audit program, governed by a single audit procedure, can cover ISO 20000, ISO 27001, and ISO 22301 audit scope. A single document control procedure governs documented information across all three systems. A single nonconformity and corrective action process handles findings from all three audit programs.</w:t>
      </w:r>
    </w:p>
    <w:p>
      <w:pPr>
        <w:spacing w:after="160" w:line="320"/>
        <w:jc w:val="both"/>
      </w:pPr>
      <w:r>
        <w:rPr>
          <w:rFonts w:ascii="Georgia" w:cs="Georgia" w:eastAsia="Georgia" w:hAnsi="Georgia"/>
          <w:b w:val="false"/>
          <w:bCs w:val="false"/>
          <w:color w:val="111827"/>
          <w:sz w:val="22"/>
          <w:szCs w:val="22"/>
        </w:rPr>
        <w:t xml:space="preserve">This integration efficiency is not just theoretical. Organizations pursuing ISO 20000 alongside existing ISO 27001 certification typically find that 40–60% of the Clauses 4–7 and 9–10 work is already done — existing management system infrastructure can be extended to cover ISO 20000 requirements with relatively modest additional effort. The real investment is in Clause 8, where the service management practice requirements are unique to ISO 20000 and must be built specifically for this standard.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3480"/>
        <w:gridCol w:w="3480"/>
      </w:tblGrid>
      <w:tr>
        <w:trPr>
          <w:tblHeader/>
        </w:trPr>
        <w:tc>
          <w:tcPr>
            <w:tcW w:type="dxa" w:w="240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Clause Group</w:t>
            </w:r>
          </w:p>
        </w:tc>
        <w:tc>
          <w:tcPr>
            <w:tcW w:type="dxa" w:w="348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Shared with ISO 27001?</w:t>
            </w:r>
          </w:p>
        </w:tc>
        <w:tc>
          <w:tcPr>
            <w:tcW w:type="dxa" w:w="348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Integration Efficiency</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Clauses 4–5 (Context, Leadership)</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Yes — identical HLS structure</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 — extend existing policies and governance</w:t>
            </w:r>
          </w:p>
        </w:tc>
      </w:tr>
      <w:tr>
        <w:tc>
          <w:tcPr>
            <w:tcW w:type="dxa" w:w="24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Clause 6 (Planning)</w:t>
            </w:r>
          </w:p>
        </w:tc>
        <w:tc>
          <w:tcPr>
            <w:tcW w:type="dxa" w:w="34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Yes — risk and objectives approach same</w:t>
            </w:r>
          </w:p>
        </w:tc>
        <w:tc>
          <w:tcPr>
            <w:tcW w:type="dxa" w:w="34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 — extend existing risk process to SMS</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Clause 7 (Support)</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Yes — identical HLS structure</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 — extend existing competence and doc control</w:t>
            </w:r>
          </w:p>
        </w:tc>
      </w:tr>
      <w:tr>
        <w:tc>
          <w:tcPr>
            <w:tcW w:type="dxa" w:w="24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Clause 8 (Operation)</w:t>
            </w:r>
          </w:p>
        </w:tc>
        <w:tc>
          <w:tcPr>
            <w:tcW w:type="dxa" w:w="34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 — ISO 20000 specific practice requirements</w:t>
            </w:r>
          </w:p>
        </w:tc>
        <w:tc>
          <w:tcPr>
            <w:tcW w:type="dxa" w:w="34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Low — must build service management practices</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Clauses 9–10 (Evaluation, Improvement)</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Yes — identical HLS structure</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 — extend existing audit and MR program</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Platform provides pre-built ISO 20000 clause mapping against ISO 27001:2022 and ISO 22301:2019, enabling organizations to identify shared requirements instantly and build integrated compliance programs. The platform’s integrated management system module supports a single set of policies, a unified audit program, and consolidated management review reporting across all three standards.</w:t>
            </w:r>
          </w:p>
        </w:tc>
      </w:tr>
    </w:tbl>
    <w:p>
      <w:pPr>
        <w:pBdr>
          <w:bottom w:val="single" w:color="2563A8" w:sz="4" w:space="4"/>
        </w:pBdr>
        <w:spacing w:after="160" w:before="400"/>
      </w:pPr>
      <w:r>
        <w:rPr>
          <w:rFonts w:ascii="Arial" w:cs="Arial" w:eastAsia="Arial" w:hAnsi="Arial"/>
          <w:b/>
          <w:bCs/>
          <w:caps w:val="false"/>
          <w:color w:val="1B3A5C"/>
          <w:sz w:val="28"/>
          <w:szCs w:val="28"/>
        </w:rPr>
        <w:t xml:space="preserve">Reading the Standard: Practical Tips</w:t>
      </w:r>
    </w:p>
    <w:p>
      <w:pPr>
        <w:spacing w:after="160" w:line="320"/>
        <w:jc w:val="both"/>
      </w:pPr>
      <w:r>
        <w:rPr>
          <w:rFonts w:ascii="Georgia" w:cs="Georgia" w:eastAsia="Georgia" w:hAnsi="Georgia"/>
          <w:b w:val="false"/>
          <w:bCs w:val="false"/>
          <w:color w:val="111827"/>
          <w:sz w:val="22"/>
          <w:szCs w:val="22"/>
        </w:rPr>
        <w:t xml:space="preserve">When reading ISO 20000-1:2018 for implementation purposes, several practical approaches help. Read Clause 8 last, not first: start with Clauses 4–7 to understand the governance infrastructure the SMS requires before diving into the practice requirements. For each practice requirement in Clause 8, ask two questions: what documented information does this require us to produce, and what operational evidence will demonstrate that this is actually happening? Cross-reference the standard with ISO/IEC TR 20000-3 (guidance on scope definition) and ISO/IEC 20000-2 (guidance on application of service management systems) for practical implementation guidance. And treat the standard as a requirements list — every “shall” is a requirement that will be tested at audit.</w:t>
      </w:r>
    </w:p>
    <w:p>
      <w:pPr>
        <w:spacing w:after="160" w:line="320"/>
        <w:jc w:val="both"/>
      </w:pPr>
      <w:r>
        <w:rPr>
          <w:rFonts w:ascii="Georgia" w:cs="Georgia" w:eastAsia="Georgia" w:hAnsi="Georgia"/>
          <w:b w:val="false"/>
          <w:bCs w:val="false"/>
          <w:color w:val="111827"/>
          <w:sz w:val="22"/>
          <w:szCs w:val="22"/>
        </w:rPr>
        <w:t xml:space="preserve">Article 1.3 covers the key definitions you need to understand the standard’s requirements accurately. Articles 2.1 through 2.8 then provide clause-by-clause deep dives, starting with Clause 4 and working through all the requirements. Section 3 builds the complete implementation roadmap on top of that clause-by-clause understanding.</w:t>
      </w:r>
    </w:p>
    <w:p>
      <w:pPr>
        <w:spacing w:after="8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2026-04-05T07:29:45.332Z</dcterms:created>
  <dcterms:modified xsi:type="dcterms:W3CDTF">2026-04-05T07:29:45.332Z</dcterms:modified>
</cp:coreProperties>
</file>

<file path=docProps/custom.xml><?xml version="1.0" encoding="utf-8"?>
<Properties xmlns="http://schemas.openxmlformats.org/officeDocument/2006/custom-properties" xmlns:vt="http://schemas.openxmlformats.org/officeDocument/2006/docPropsVTypes"/>
</file>